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09.26 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9.26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162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53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2025-09-27T02:25:35Z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