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262"/>
        <w:gridCol w:w="1158"/>
        <w:gridCol w:w="1095"/>
        <w:gridCol w:w="1110"/>
        <w:gridCol w:w="1080"/>
        <w:gridCol w:w="997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9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0.87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7.29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0.39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&lt;0.00068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0.000279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0.00030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</w:pPr>
            <w:bookmarkStart w:id="0" w:name="_GoBack"/>
            <w:bookmarkEnd w:id="0"/>
            <w:r>
              <w:rPr>
                <w:color w:val="000000"/>
              </w:rPr>
              <w:t>说 明：</w:t>
            </w:r>
          </w:p>
        </w:tc>
        <w:tc>
          <w:tcPr>
            <w:tcW w:w="2262" w:type="dxa"/>
            <w:shd w:val="clear" w:color="auto" w:fill="auto"/>
            <w:vAlign w:val="center"/>
          </w:tcPr>
          <w:p/>
        </w:tc>
        <w:tc>
          <w:tcPr>
            <w:tcW w:w="1158" w:type="dxa"/>
            <w:shd w:val="clear" w:color="auto" w:fill="auto"/>
            <w:vAlign w:val="center"/>
          </w:tcPr>
          <w:p/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/>
        </w:tc>
        <w:tc>
          <w:tcPr>
            <w:tcW w:w="1080" w:type="dxa"/>
            <w:shd w:val="clear" w:color="auto" w:fill="auto"/>
            <w:vAlign w:val="center"/>
          </w:tcPr>
          <w:p/>
        </w:tc>
        <w:tc>
          <w:tcPr>
            <w:tcW w:w="997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333C4763"/>
    <w:rsid w:val="387E5A90"/>
    <w:rsid w:val="3A4C2EDF"/>
    <w:rsid w:val="4A05512C"/>
    <w:rsid w:val="4EC0282E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2019-10-10T07:50:39Z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