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jc w:val="center"/>
      </w:pPr>
      <w:r>
        <w:rPr>
          <w:b/>
          <w:color w:val="000000"/>
        </w:rPr>
        <w:t>青浦第二水厂管网水</w:t>
      </w:r>
      <w:r>
        <w:rPr>
          <w:b/>
          <w:color w:val="333333"/>
        </w:rPr>
        <w:t>7项指标（</w:t>
      </w:r>
      <w:r>
        <w:rPr>
          <w:rFonts w:hint="eastAsia"/>
          <w:b/>
          <w:color w:val="333333"/>
          <w:lang w:val="en-US" w:eastAsia="zh-CN"/>
        </w:rPr>
        <w:t>19.01.16</w:t>
      </w:r>
      <w:r>
        <w:rPr>
          <w:b/>
          <w:color w:val="333333"/>
        </w:rPr>
        <w:t>-</w:t>
      </w:r>
      <w:r>
        <w:rPr>
          <w:rFonts w:hint="eastAsia"/>
          <w:b/>
          <w:color w:val="333333"/>
          <w:lang w:val="en-US" w:eastAsia="zh-CN"/>
        </w:rPr>
        <w:t>31</w:t>
      </w:r>
      <w:r>
        <w:rPr>
          <w:b/>
          <w:color w:val="333333"/>
        </w:rPr>
        <w:t>）</w:t>
      </w:r>
    </w:p>
    <w:tbl>
      <w:tblPr>
        <w:tblStyle w:val="6"/>
        <w:tblW w:w="8306" w:type="dxa"/>
        <w:jc w:val="center"/>
        <w:tblCellSpacing w:w="0" w:type="dxa"/>
        <w:tblInd w:w="15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outset" w:color="auto" w:sz="6" w:space="0"/>
          <w:insideV w:val="outset" w:color="auto" w:sz="6" w:space="0"/>
        </w:tblBorders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43"/>
        <w:gridCol w:w="3209"/>
        <w:gridCol w:w="1077"/>
        <w:gridCol w:w="852"/>
        <w:gridCol w:w="828"/>
        <w:gridCol w:w="825"/>
        <w:gridCol w:w="872"/>
      </w:tblGrid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643" w:type="dxa"/>
            <w:vMerge w:val="restart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序号</w:t>
            </w:r>
          </w:p>
        </w:tc>
        <w:tc>
          <w:tcPr>
            <w:tcW w:w="3209" w:type="dxa"/>
            <w:vMerge w:val="restart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项目</w:t>
            </w:r>
          </w:p>
        </w:tc>
        <w:tc>
          <w:tcPr>
            <w:tcW w:w="1077" w:type="dxa"/>
            <w:vMerge w:val="restart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限值</w:t>
            </w:r>
          </w:p>
        </w:tc>
        <w:tc>
          <w:tcPr>
            <w:tcW w:w="2505" w:type="dxa"/>
            <w:gridSpan w:val="3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检测值</w:t>
            </w:r>
          </w:p>
        </w:tc>
        <w:tc>
          <w:tcPr>
            <w:tcW w:w="872" w:type="dxa"/>
            <w:vMerge w:val="restart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备注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643" w:type="dxa"/>
            <w:vMerge w:val="continue"/>
            <w:shd w:val="clear" w:color="auto" w:fill="auto"/>
            <w:vAlign w:val="center"/>
          </w:tcPr>
          <w:p>
            <w:pPr>
              <w:rPr>
                <w:rFonts w:hint="eastAsia" w:ascii="宋体"/>
                <w:color w:val="000000"/>
                <w:sz w:val="24"/>
                <w:szCs w:val="24"/>
              </w:rPr>
            </w:pPr>
          </w:p>
        </w:tc>
        <w:tc>
          <w:tcPr>
            <w:tcW w:w="3209" w:type="dxa"/>
            <w:vMerge w:val="continue"/>
            <w:shd w:val="clear" w:color="auto" w:fill="auto"/>
            <w:vAlign w:val="center"/>
          </w:tcPr>
          <w:p>
            <w:pPr>
              <w:rPr>
                <w:rFonts w:hint="eastAsia" w:ascii="宋体"/>
                <w:color w:val="000000"/>
                <w:sz w:val="24"/>
                <w:szCs w:val="24"/>
              </w:rPr>
            </w:pPr>
          </w:p>
        </w:tc>
        <w:tc>
          <w:tcPr>
            <w:tcW w:w="1077" w:type="dxa"/>
            <w:vMerge w:val="continue"/>
            <w:shd w:val="clear" w:color="auto" w:fill="auto"/>
            <w:vAlign w:val="center"/>
          </w:tcPr>
          <w:p>
            <w:pPr>
              <w:rPr>
                <w:rFonts w:hint="eastAsia" w:ascii="宋体"/>
                <w:color w:val="000000"/>
                <w:sz w:val="24"/>
                <w:szCs w:val="24"/>
              </w:rPr>
            </w:pPr>
          </w:p>
        </w:tc>
        <w:tc>
          <w:tcPr>
            <w:tcW w:w="852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最大值</w:t>
            </w:r>
          </w:p>
        </w:tc>
        <w:tc>
          <w:tcPr>
            <w:tcW w:w="828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最小值</w:t>
            </w:r>
          </w:p>
        </w:tc>
        <w:tc>
          <w:tcPr>
            <w:tcW w:w="825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平均值</w:t>
            </w:r>
          </w:p>
        </w:tc>
        <w:tc>
          <w:tcPr>
            <w:tcW w:w="872" w:type="dxa"/>
            <w:vMerge w:val="continue"/>
            <w:shd w:val="clear" w:color="auto" w:fill="auto"/>
            <w:vAlign w:val="center"/>
          </w:tcPr>
          <w:p>
            <w:pPr>
              <w:rPr>
                <w:rFonts w:hint="eastAsia" w:ascii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643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1</w:t>
            </w:r>
          </w:p>
        </w:tc>
        <w:tc>
          <w:tcPr>
            <w:tcW w:w="3209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色</w:t>
            </w:r>
            <w:r>
              <w:rPr>
                <w:color w:val="333333"/>
              </w:rPr>
              <w:t>(铂钴色度单位)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≤</w:t>
            </w:r>
            <w:r>
              <w:rPr>
                <w:color w:val="333333"/>
              </w:rPr>
              <w:t>15</w:t>
            </w:r>
          </w:p>
        </w:tc>
        <w:tc>
          <w:tcPr>
            <w:tcW w:w="852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&lt;5</w:t>
            </w:r>
          </w:p>
        </w:tc>
        <w:tc>
          <w:tcPr>
            <w:tcW w:w="828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&lt;5</w:t>
            </w:r>
          </w:p>
        </w:tc>
        <w:tc>
          <w:tcPr>
            <w:tcW w:w="825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&lt;5</w:t>
            </w:r>
          </w:p>
        </w:tc>
        <w:tc>
          <w:tcPr>
            <w:tcW w:w="872" w:type="dxa"/>
            <w:shd w:val="clear" w:color="auto" w:fill="auto"/>
            <w:vAlign w:val="center"/>
          </w:tcPr>
          <w:p>
            <w:pPr>
              <w:rPr>
                <w:rFonts w:hint="eastAsia" w:ascii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643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2</w:t>
            </w:r>
          </w:p>
        </w:tc>
        <w:tc>
          <w:tcPr>
            <w:tcW w:w="3209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浑浊度（NTU）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≤</w:t>
            </w:r>
            <w:r>
              <w:rPr>
                <w:color w:val="333333"/>
              </w:rPr>
              <w:t>1</w:t>
            </w:r>
          </w:p>
        </w:tc>
        <w:tc>
          <w:tcPr>
            <w:tcW w:w="852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color w:val="000000"/>
              </w:rPr>
              <w:t>0.</w:t>
            </w:r>
            <w:r>
              <w:rPr>
                <w:rFonts w:hint="eastAsia"/>
                <w:color w:val="000000"/>
                <w:lang w:val="en-US" w:eastAsia="zh-CN"/>
              </w:rPr>
              <w:t>35</w:t>
            </w:r>
          </w:p>
        </w:tc>
        <w:tc>
          <w:tcPr>
            <w:tcW w:w="828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color w:val="000000"/>
              </w:rPr>
              <w:t>0.</w:t>
            </w:r>
            <w:r>
              <w:rPr>
                <w:rFonts w:hint="eastAsia"/>
                <w:color w:val="000000"/>
                <w:lang w:val="en-US" w:eastAsia="zh-CN"/>
              </w:rPr>
              <w:t>10</w:t>
            </w:r>
          </w:p>
        </w:tc>
        <w:tc>
          <w:tcPr>
            <w:tcW w:w="825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color w:val="000000"/>
              </w:rPr>
              <w:t>0.1</w:t>
            </w:r>
            <w:r>
              <w:rPr>
                <w:rFonts w:hint="eastAsia"/>
                <w:color w:val="000000"/>
                <w:lang w:val="en-US" w:eastAsia="zh-CN"/>
              </w:rPr>
              <w:t>7</w:t>
            </w:r>
          </w:p>
        </w:tc>
        <w:tc>
          <w:tcPr>
            <w:tcW w:w="872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 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643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3</w:t>
            </w:r>
          </w:p>
        </w:tc>
        <w:tc>
          <w:tcPr>
            <w:tcW w:w="3209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臭和味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无</w:t>
            </w:r>
          </w:p>
        </w:tc>
        <w:tc>
          <w:tcPr>
            <w:tcW w:w="852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828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无</w:t>
            </w:r>
          </w:p>
        </w:tc>
        <w:tc>
          <w:tcPr>
            <w:tcW w:w="825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872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333333"/>
              </w:rPr>
              <w:t>合格率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643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4</w:t>
            </w:r>
          </w:p>
        </w:tc>
        <w:tc>
          <w:tcPr>
            <w:tcW w:w="3209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菌落总数（CFU/ml）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≤</w:t>
            </w:r>
            <w:r>
              <w:rPr>
                <w:color w:val="333333"/>
              </w:rPr>
              <w:t>100</w:t>
            </w:r>
          </w:p>
        </w:tc>
        <w:tc>
          <w:tcPr>
            <w:tcW w:w="852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color w:val="000000"/>
                <w:lang w:val="en-US" w:eastAsia="zh-CN"/>
              </w:rPr>
              <w:t>1</w:t>
            </w:r>
          </w:p>
        </w:tc>
        <w:tc>
          <w:tcPr>
            <w:tcW w:w="828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0</w:t>
            </w:r>
          </w:p>
        </w:tc>
        <w:tc>
          <w:tcPr>
            <w:tcW w:w="825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color w:val="000000"/>
                <w:lang w:val="en-US" w:eastAsia="zh-CN"/>
              </w:rPr>
              <w:t>1</w:t>
            </w:r>
          </w:p>
        </w:tc>
        <w:tc>
          <w:tcPr>
            <w:tcW w:w="872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333333"/>
              </w:rPr>
              <w:t>为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643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5</w:t>
            </w:r>
          </w:p>
        </w:tc>
        <w:tc>
          <w:tcPr>
            <w:tcW w:w="3209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总大肠菌群（CFU/100ml）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不得检出</w:t>
            </w:r>
          </w:p>
        </w:tc>
        <w:tc>
          <w:tcPr>
            <w:tcW w:w="852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未检出</w:t>
            </w:r>
          </w:p>
        </w:tc>
        <w:tc>
          <w:tcPr>
            <w:tcW w:w="828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未检出</w:t>
            </w:r>
          </w:p>
        </w:tc>
        <w:tc>
          <w:tcPr>
            <w:tcW w:w="825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未检出</w:t>
            </w:r>
          </w:p>
        </w:tc>
        <w:tc>
          <w:tcPr>
            <w:tcW w:w="872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/>
                <w:color w:val="333333"/>
                <w:lang w:val="en-US" w:eastAsia="zh-CN"/>
              </w:rPr>
              <w:t>100.00</w:t>
            </w:r>
            <w:r>
              <w:rPr>
                <w:color w:val="333333"/>
              </w:rPr>
              <w:t>%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643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6</w:t>
            </w:r>
          </w:p>
        </w:tc>
        <w:tc>
          <w:tcPr>
            <w:tcW w:w="3209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一氯胺（总氯）（mg/l）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0.05～</w:t>
            </w:r>
            <w:r>
              <w:rPr>
                <w:color w:val="333333"/>
              </w:rPr>
              <w:t>3.0</w:t>
            </w:r>
          </w:p>
        </w:tc>
        <w:tc>
          <w:tcPr>
            <w:tcW w:w="852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color w:val="000000"/>
              </w:rPr>
              <w:t>0.</w:t>
            </w:r>
            <w:r>
              <w:rPr>
                <w:rFonts w:hint="eastAsia"/>
                <w:color w:val="000000"/>
                <w:lang w:val="en-US" w:eastAsia="zh-CN"/>
              </w:rPr>
              <w:t>82</w:t>
            </w:r>
          </w:p>
        </w:tc>
        <w:tc>
          <w:tcPr>
            <w:tcW w:w="828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color w:val="000000"/>
              </w:rPr>
              <w:t>0.</w:t>
            </w:r>
            <w:r>
              <w:rPr>
                <w:rFonts w:hint="eastAsia"/>
                <w:color w:val="000000"/>
                <w:lang w:val="en-US" w:eastAsia="zh-CN"/>
              </w:rPr>
              <w:t>16</w:t>
            </w:r>
          </w:p>
        </w:tc>
        <w:tc>
          <w:tcPr>
            <w:tcW w:w="825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color w:val="000000"/>
              </w:rPr>
              <w:t>0.</w:t>
            </w:r>
            <w:r>
              <w:rPr>
                <w:rFonts w:hint="eastAsia"/>
                <w:color w:val="000000"/>
                <w:lang w:val="en-US" w:eastAsia="zh-CN"/>
              </w:rPr>
              <w:t>50</w:t>
            </w:r>
          </w:p>
        </w:tc>
        <w:tc>
          <w:tcPr>
            <w:tcW w:w="872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 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643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7</w:t>
            </w:r>
          </w:p>
        </w:tc>
        <w:tc>
          <w:tcPr>
            <w:tcW w:w="3209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耗氧量(COD</w:t>
            </w:r>
            <w:r>
              <w:rPr>
                <w:color w:val="000000"/>
                <w:vertAlign w:val="subscript"/>
              </w:rPr>
              <w:t>Mn</w:t>
            </w:r>
            <w:r>
              <w:rPr>
                <w:color w:val="000000"/>
              </w:rPr>
              <w:t>法，以</w:t>
            </w:r>
            <w:r>
              <w:rPr>
                <w:color w:val="333333"/>
              </w:rPr>
              <w:t>O</w:t>
            </w:r>
            <w:r>
              <w:rPr>
                <w:color w:val="333333"/>
                <w:vertAlign w:val="subscript"/>
              </w:rPr>
              <w:t>2</w:t>
            </w:r>
            <w:r>
              <w:rPr>
                <w:color w:val="333333"/>
              </w:rPr>
              <w:t>计) mg/</w:t>
            </w:r>
            <w:r>
              <w:rPr>
                <w:color w:val="000000"/>
              </w:rPr>
              <w:t>l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≤</w:t>
            </w:r>
            <w:r>
              <w:rPr>
                <w:color w:val="333333"/>
              </w:rPr>
              <w:t>3</w:t>
            </w:r>
          </w:p>
        </w:tc>
        <w:tc>
          <w:tcPr>
            <w:tcW w:w="852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color w:val="000000"/>
                <w:lang w:val="en-US" w:eastAsia="zh-CN"/>
              </w:rPr>
              <w:t>1.76</w:t>
            </w:r>
          </w:p>
        </w:tc>
        <w:tc>
          <w:tcPr>
            <w:tcW w:w="828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color w:val="000000"/>
              </w:rPr>
              <w:t>1.</w:t>
            </w:r>
            <w:r>
              <w:rPr>
                <w:rFonts w:hint="eastAsia"/>
                <w:color w:val="000000"/>
                <w:lang w:val="en-US" w:eastAsia="zh-CN"/>
              </w:rPr>
              <w:t>36</w:t>
            </w:r>
          </w:p>
        </w:tc>
        <w:tc>
          <w:tcPr>
            <w:tcW w:w="825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color w:val="000000"/>
              </w:rPr>
              <w:t>1.</w:t>
            </w:r>
            <w:r>
              <w:rPr>
                <w:rFonts w:hint="eastAsia"/>
                <w:color w:val="000000"/>
                <w:lang w:val="en-US" w:eastAsia="zh-CN"/>
              </w:rPr>
              <w:t>61</w:t>
            </w:r>
          </w:p>
        </w:tc>
        <w:tc>
          <w:tcPr>
            <w:tcW w:w="872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 </w:t>
            </w:r>
          </w:p>
        </w:tc>
      </w:tr>
    </w:tbl>
    <w:p>
      <w:pPr>
        <w:pStyle w:val="2"/>
        <w:keepNext w:val="0"/>
        <w:keepLines w:val="0"/>
        <w:widowControl/>
        <w:suppressLineNumbers w:val="0"/>
        <w:jc w:val="center"/>
      </w:pPr>
      <w:r>
        <w:rPr>
          <w:color w:val="000000"/>
        </w:rPr>
        <w:t>说明：</w:t>
      </w:r>
    </w:p>
    <w:p>
      <w:pPr>
        <w:pStyle w:val="2"/>
        <w:keepNext w:val="0"/>
        <w:keepLines w:val="0"/>
        <w:widowControl/>
        <w:suppressLineNumbers w:val="0"/>
        <w:jc w:val="center"/>
        <w:rPr>
          <w:color w:val="000000"/>
        </w:rPr>
      </w:pPr>
      <w:r>
        <w:rPr>
          <w:color w:val="000000"/>
        </w:rPr>
        <w:t>（一）上海青浦自来水有限公司供水水质检测执行《生活饮用水卫生标准》（GB5749-2006）；</w:t>
      </w:r>
      <w:bookmarkStart w:id="0" w:name="_GoBack"/>
      <w:bookmarkEnd w:id="0"/>
    </w:p>
    <w:p>
      <w:pPr>
        <w:pStyle w:val="2"/>
        <w:keepNext w:val="0"/>
        <w:keepLines w:val="0"/>
        <w:widowControl/>
        <w:suppressLineNumbers w:val="0"/>
        <w:jc w:val="center"/>
        <w:rPr>
          <w:color w:val="000000"/>
        </w:rPr>
      </w:pPr>
      <w:r>
        <w:rPr>
          <w:color w:val="000000"/>
        </w:rPr>
        <w:t>（二）上述供水水质检测值系上海青浦自来水有限公司各水厂管网水7项指标检测结果，公布频率为每两周一次；</w:t>
      </w:r>
    </w:p>
    <w:p>
      <w:pPr>
        <w:pStyle w:val="2"/>
        <w:keepNext w:val="0"/>
        <w:keepLines w:val="0"/>
        <w:widowControl/>
        <w:suppressLineNumbers w:val="0"/>
        <w:jc w:val="center"/>
      </w:pPr>
      <w:r>
        <w:rPr>
          <w:color w:val="000000"/>
        </w:rPr>
        <w:t>（三）上海青浦自来水有限公司出厂水余氯采用化合氯形式，未采用臭氧、二氧化氯等消毒方式，因而检测指标采用一氯胺（总氯）。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attachedTemplate r:id="rId1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E22394D"/>
    <w:rsid w:val="08A30B32"/>
    <w:rsid w:val="0D2350B0"/>
    <w:rsid w:val="1289304B"/>
    <w:rsid w:val="1BFC16B6"/>
    <w:rsid w:val="33C71A1B"/>
    <w:rsid w:val="3EBD7C4F"/>
    <w:rsid w:val="42EC4A4A"/>
    <w:rsid w:val="4D653D6A"/>
    <w:rsid w:val="50433B5E"/>
    <w:rsid w:val="55CC7F3F"/>
    <w:rsid w:val="5FE75664"/>
    <w:rsid w:val="6D535020"/>
    <w:rsid w:val="6E22394D"/>
    <w:rsid w:val="6E9A504E"/>
    <w:rsid w:val="6F1D6D94"/>
    <w:rsid w:val="6F8B5145"/>
    <w:rsid w:val="7332067D"/>
    <w:rsid w:val="7C3771EB"/>
    <w:rsid w:val="7E4259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4">
    <w:name w:val="FollowedHyperlink"/>
    <w:basedOn w:val="3"/>
    <w:qFormat/>
    <w:uiPriority w:val="0"/>
    <w:rPr>
      <w:color w:val="000000"/>
      <w:u w:val="single"/>
    </w:rPr>
  </w:style>
  <w:style w:type="character" w:styleId="5">
    <w:name w:val="Hyperlink"/>
    <w:basedOn w:val="3"/>
    <w:qFormat/>
    <w:uiPriority w:val="0"/>
    <w:rPr>
      <w:color w:val="000000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\AppData\Roaming\Kingsoft\wps\addons\pool\win-i386\knewfileruby_1.0.0.11\template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0.docx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Office_11.1.0.8214_F1E327BC-269C-435d-A152-05C5408002CA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2018-07-18T02:00:00Z</dcterms:created>
  <dc:creator>Administrator</dc:creator>
  <cp:lastModifiedBy>Administrator</cp:lastModifiedBy>
  <dcterms:modified xsi:type="dcterms:W3CDTF">2019-02-03T06:31:06Z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