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/>
          <w:b/>
          <w:color w:val="000000"/>
          <w:lang w:val="en-US" w:eastAsia="zh-CN"/>
        </w:rPr>
        <w:t>青浦水司</w:t>
      </w:r>
      <w:r>
        <w:rPr>
          <w:b/>
          <w:color w:val="000000"/>
        </w:rPr>
        <w:t>水质合格率（20</w:t>
      </w:r>
      <w:r>
        <w:rPr>
          <w:b/>
          <w:color w:val="333333"/>
        </w:rPr>
        <w:t>18年</w:t>
      </w:r>
      <w:r>
        <w:rPr>
          <w:rFonts w:hint="eastAsia"/>
          <w:b/>
          <w:color w:val="333333"/>
          <w:lang w:val="en-US" w:eastAsia="zh-CN"/>
        </w:rPr>
        <w:t>7</w:t>
      </w:r>
      <w:r>
        <w:rPr>
          <w:b/>
          <w:color w:val="333333"/>
        </w:rPr>
        <w:t>月）</w:t>
      </w:r>
    </w:p>
    <w:tbl>
      <w:tblPr>
        <w:tblStyle w:val="6"/>
        <w:tblW w:w="8303" w:type="dxa"/>
        <w:jc w:val="center"/>
        <w:tblCellSpacing w:w="0" w:type="dxa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出厂水9项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管网水7项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常规42项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非常规64项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99.7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99.</w:t>
            </w:r>
            <w:r>
              <w:rPr>
                <w:rFonts w:hint="eastAsia"/>
                <w:color w:val="000000"/>
                <w:lang w:val="en-US" w:eastAsia="zh-CN"/>
              </w:rPr>
              <w:t>71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color w:val="000000"/>
        </w:rPr>
        <w:t>说明：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（一）根据《生活饮用水卫生标准》（GB5749-2006）的要求，水质合格率包括综合合格率、出厂水9项合格率、管网水7项合格率、出厂水常规42项合格率、出厂水非常规64项合格率，五项合格率均应达到95%的要求。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（二）综合合格率、出厂水9项合格率、管网水7项合格率、出厂水常规42项合格率每月公布一次，出厂水非常规64项每半年公布一次。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B0CA1"/>
    <w:rsid w:val="128B4B9B"/>
    <w:rsid w:val="1DDB0CA1"/>
    <w:rsid w:val="3467334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2018-07-02T01:09:00Z</dcterms:created>
  <dc:creator>Administrator</dc:creator>
  <cp:lastModifiedBy>Administrator</cp:lastModifiedBy>
  <dcterms:modified xsi:type="dcterms:W3CDTF">2018-08-07T06:08:11Z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