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18年3月）</w:t>
      </w:r>
    </w:p>
    <w:tbl>
      <w:tblPr>
        <w:tblStyle w:val="6"/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392"/>
        <w:gridCol w:w="1392"/>
        <w:gridCol w:w="1392"/>
        <w:gridCol w:w="1392"/>
        <w:gridCol w:w="1321"/>
        <w:gridCol w:w="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  <w:szCs w:val="22"/>
        </w:rPr>
      </w:pPr>
      <w:r>
        <w:rPr>
          <w:color w:val="000000"/>
        </w:rPr>
        <w:t>（一）根据《生活饮用水卫生标准》</w:t>
      </w:r>
      <w:r>
        <w:rPr>
          <w:color w:val="000000"/>
          <w:szCs w:val="22"/>
        </w:rPr>
        <w:t>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  <w:szCs w:val="22"/>
        </w:rPr>
      </w:pPr>
      <w:r>
        <w:rPr>
          <w:color w:val="000000"/>
          <w:szCs w:val="22"/>
        </w:rPr>
        <w:t>（二）综合合格率、出厂水9项合格率、管网水7项合格率、出厂水常规42项合格率每月公布一次，出厂水非常规64项每半年公布一次。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1A6D"/>
    <w:rsid w:val="418F05C9"/>
    <w:rsid w:val="52A01A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2018-04-04T02:14:00Z</dcterms:created>
  <dc:creator>ccl</dc:creator>
  <cp:lastModifiedBy>ccl</cp:lastModifiedBy>
  <dcterms:modified xsi:type="dcterms:W3CDTF">2018-04-04T02:17:55Z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