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000000"/>
        </w:rPr>
      </w:pPr>
      <w:bookmarkStart w:id="0" w:name="_GoBack"/>
      <w:r>
        <w:rPr>
          <w:rFonts w:hint="eastAsia"/>
          <w:b/>
          <w:color w:val="000000"/>
        </w:rPr>
        <w:t>2018年1月水质合格率报告</w:t>
      </w:r>
      <w:bookmarkEnd w:id="0"/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99.49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99.41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（一）根据《生活饮用水卫生标准》（</w:t>
      </w:r>
      <w:r>
        <w:rPr>
          <w:color w:val="666666"/>
        </w:rPr>
        <w:t>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（二）综合合格率、出厂水</w:t>
      </w:r>
      <w:r>
        <w:rPr>
          <w:color w:val="666666"/>
        </w:rPr>
        <w:t>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10DE"/>
    <w:rsid w:val="1B351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2018-03-01T06:06:00Z</dcterms:created>
  <dc:creator>ccl</dc:creator>
  <cp:lastModifiedBy>ccl</cp:lastModifiedBy>
  <dcterms:modified xsi:type="dcterms:W3CDTF">2018-03-01T06:09:03Z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